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3F0D1" w14:textId="0B1CE5CE" w:rsidR="001F32FF" w:rsidRPr="0019758C" w:rsidRDefault="001F32FF" w:rsidP="0019758C">
      <w:pPr>
        <w:spacing w:line="240" w:lineRule="auto"/>
        <w:jc w:val="center"/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</w:pPr>
      <w:r w:rsidRPr="001F32FF"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  <w:t>Supplementary material for</w:t>
      </w:r>
    </w:p>
    <w:p w14:paraId="4AD89321" w14:textId="3678A1CC" w:rsidR="001F32FF" w:rsidRDefault="001F32FF" w:rsidP="001F32FF">
      <w:pPr>
        <w:spacing w:line="240" w:lineRule="auto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 w:rsidRPr="002C1336">
        <w:rPr>
          <w:rFonts w:ascii="Arial" w:hAnsi="Arial" w:cs="Arial"/>
          <w:color w:val="222222"/>
          <w:shd w:val="clear" w:color="auto" w:fill="FFFFFF"/>
        </w:rPr>
        <w:t>Title:</w:t>
      </w:r>
      <w:r w:rsidRPr="002C1336">
        <w:rPr>
          <w:rFonts w:ascii="Arial" w:hAnsi="Arial" w:cs="Arial"/>
          <w:b/>
          <w:bCs/>
          <w:color w:val="222222"/>
          <w:shd w:val="clear" w:color="auto" w:fill="FFFFFF"/>
        </w:rPr>
        <w:t xml:space="preserve"> Shatavari Supplementation During Eight Weeks of Resistance Training Increases Training Load, Enhances Skeletal Muscle Contractility and Alters the Skeletal Muscle Proteome in Older Women. </w:t>
      </w:r>
    </w:p>
    <w:p w14:paraId="71912EA1" w14:textId="77777777" w:rsidR="001F32FF" w:rsidRPr="001A0309" w:rsidRDefault="001F32FF" w:rsidP="001F32FF">
      <w:pPr>
        <w:spacing w:line="240" w:lineRule="auto"/>
        <w:jc w:val="both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Running title: </w:t>
      </w:r>
      <w:r w:rsidRPr="001A0309">
        <w:rPr>
          <w:rFonts w:ascii="Arial" w:hAnsi="Arial" w:cs="Arial"/>
          <w:b/>
          <w:bCs/>
          <w:color w:val="222222"/>
          <w:shd w:val="clear" w:color="auto" w:fill="FFFFFF"/>
        </w:rPr>
        <w:t>Shatavari and resistance training</w:t>
      </w:r>
    </w:p>
    <w:p w14:paraId="69B6C7ED" w14:textId="77777777" w:rsidR="001F32FF" w:rsidRPr="002C1336" w:rsidRDefault="001F32FF" w:rsidP="001F32FF">
      <w:pPr>
        <w:spacing w:line="240" w:lineRule="auto"/>
        <w:rPr>
          <w:rFonts w:ascii="Arial" w:hAnsi="Arial" w:cs="Arial"/>
        </w:rPr>
      </w:pPr>
      <w:r w:rsidRPr="002C1336">
        <w:rPr>
          <w:rFonts w:ascii="Arial" w:hAnsi="Arial" w:cs="Arial"/>
        </w:rPr>
        <w:t>Elsa Greed</w:t>
      </w:r>
      <w:r w:rsidRPr="002C1336">
        <w:rPr>
          <w:rFonts w:ascii="Arial" w:hAnsi="Arial" w:cs="Arial"/>
          <w:vertAlign w:val="superscript"/>
        </w:rPr>
        <w:t>1,2</w:t>
      </w:r>
      <w:r w:rsidRPr="00227D57">
        <w:rPr>
          <w:rFonts w:ascii="Arial" w:hAnsi="Arial" w:cs="Arial"/>
          <w:vertAlign w:val="superscript"/>
        </w:rPr>
        <w:t>†</w:t>
      </w:r>
      <w:r w:rsidRPr="002C1336">
        <w:rPr>
          <w:rFonts w:ascii="Arial" w:hAnsi="Arial" w:cs="Arial"/>
        </w:rPr>
        <w:t>, Jack Pritchard</w:t>
      </w:r>
      <w:r w:rsidRPr="002C1336">
        <w:rPr>
          <w:rFonts w:ascii="Arial" w:hAnsi="Arial" w:cs="Arial"/>
          <w:vertAlign w:val="superscript"/>
        </w:rPr>
        <w:t>1</w:t>
      </w:r>
      <w:r w:rsidRPr="00227D57">
        <w:rPr>
          <w:rFonts w:ascii="Arial" w:hAnsi="Arial" w:cs="Arial"/>
          <w:vertAlign w:val="superscript"/>
        </w:rPr>
        <w:t>†</w:t>
      </w:r>
      <w:r w:rsidRPr="002C1336">
        <w:rPr>
          <w:rFonts w:ascii="Arial" w:hAnsi="Arial" w:cs="Arial"/>
        </w:rPr>
        <w:t>, Lauren Struszczak</w:t>
      </w:r>
      <w:r w:rsidRPr="002C1336">
        <w:rPr>
          <w:rFonts w:ascii="Arial" w:hAnsi="Arial" w:cs="Arial"/>
          <w:vertAlign w:val="superscript"/>
        </w:rPr>
        <w:t>1</w:t>
      </w:r>
      <w:r w:rsidRPr="002C1336">
        <w:rPr>
          <w:rFonts w:ascii="Arial" w:hAnsi="Arial" w:cs="Arial"/>
        </w:rPr>
        <w:t>, Esra Bozbaş</w:t>
      </w:r>
      <w:r w:rsidRPr="002C1336">
        <w:rPr>
          <w:rFonts w:ascii="Arial" w:hAnsi="Arial" w:cs="Arial"/>
          <w:vertAlign w:val="superscript"/>
        </w:rPr>
        <w:t>1</w:t>
      </w:r>
      <w:r w:rsidRPr="002C133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Georgia Ek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>, Jordan Acheson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,3</w:t>
      </w:r>
      <w:r>
        <w:rPr>
          <w:rFonts w:ascii="Arial" w:hAnsi="Arial" w:cs="Arial"/>
        </w:rPr>
        <w:t>, Ben Winney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>, Aaliyah Qadir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Pr="00D74FFF">
        <w:rPr>
          <w:rFonts w:ascii="Arial" w:hAnsi="Arial" w:cs="Arial"/>
        </w:rPr>
        <w:t xml:space="preserve">Karl Ka-Lam </w:t>
      </w:r>
      <w:r>
        <w:rPr>
          <w:rFonts w:ascii="Arial" w:hAnsi="Arial" w:cs="Arial"/>
        </w:rPr>
        <w:t>Wong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>,</w:t>
      </w:r>
      <w:r w:rsidRPr="002C1336">
        <w:rPr>
          <w:rFonts w:ascii="Arial" w:hAnsi="Arial" w:cs="Arial"/>
        </w:rPr>
        <w:t xml:space="preserve"> Joanna Bowtell</w:t>
      </w:r>
      <w:r w:rsidRPr="002C1336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Pr="002C1336">
        <w:rPr>
          <w:rFonts w:ascii="Arial" w:hAnsi="Arial" w:cs="Arial"/>
        </w:rPr>
        <w:t>Mary O’Leary</w:t>
      </w:r>
      <w:r w:rsidRPr="002C1336">
        <w:rPr>
          <w:rFonts w:ascii="Arial" w:hAnsi="Arial" w:cs="Arial"/>
          <w:vertAlign w:val="superscript"/>
        </w:rPr>
        <w:t>1*</w:t>
      </w:r>
    </w:p>
    <w:p w14:paraId="2420CF9A" w14:textId="77777777" w:rsidR="001F32FF" w:rsidRPr="002C1336" w:rsidRDefault="001F32FF" w:rsidP="001F32FF">
      <w:pPr>
        <w:spacing w:line="240" w:lineRule="auto"/>
        <w:rPr>
          <w:rFonts w:ascii="Arial" w:hAnsi="Arial" w:cs="Arial"/>
        </w:rPr>
      </w:pPr>
      <w:r w:rsidRPr="002C1336">
        <w:rPr>
          <w:rFonts w:ascii="Arial" w:hAnsi="Arial" w:cs="Arial"/>
          <w:vertAlign w:val="superscript"/>
        </w:rPr>
        <w:t xml:space="preserve">1 </w:t>
      </w:r>
      <w:r w:rsidRPr="002C1336">
        <w:rPr>
          <w:rFonts w:ascii="Arial" w:hAnsi="Arial" w:cs="Arial"/>
        </w:rPr>
        <w:t>Faculty of Health and Life Sciences, Department of Public Health and Sport Sciences, University of Exeter, Exeter</w:t>
      </w:r>
      <w:r>
        <w:rPr>
          <w:rFonts w:ascii="Arial" w:hAnsi="Arial" w:cs="Arial"/>
        </w:rPr>
        <w:t>,</w:t>
      </w:r>
      <w:r w:rsidRPr="002C1336">
        <w:rPr>
          <w:rFonts w:ascii="Arial" w:hAnsi="Arial" w:cs="Arial"/>
        </w:rPr>
        <w:t xml:space="preserve"> United Kingdom.</w:t>
      </w:r>
    </w:p>
    <w:p w14:paraId="19C90E21" w14:textId="77777777" w:rsidR="001F32FF" w:rsidRDefault="001F32FF" w:rsidP="001F32FF">
      <w:pPr>
        <w:spacing w:line="240" w:lineRule="auto"/>
        <w:rPr>
          <w:rFonts w:ascii="Arial" w:hAnsi="Arial" w:cs="Arial"/>
        </w:rPr>
      </w:pPr>
      <w:r w:rsidRPr="002C1336">
        <w:rPr>
          <w:rFonts w:ascii="Arial" w:hAnsi="Arial" w:cs="Arial"/>
          <w:vertAlign w:val="superscript"/>
        </w:rPr>
        <w:t xml:space="preserve">2 </w:t>
      </w:r>
      <w:r w:rsidRPr="002C1336">
        <w:rPr>
          <w:rFonts w:ascii="Arial" w:hAnsi="Arial" w:cs="Arial"/>
        </w:rPr>
        <w:t>School of Sport, Exercise and Rehabilitation Sciences, University of Birmingham, Edgbaston, Birmingham, UK.</w:t>
      </w:r>
    </w:p>
    <w:p w14:paraId="512FD0E5" w14:textId="77777777" w:rsidR="001F32FF" w:rsidRDefault="001F32FF" w:rsidP="001F32FF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Pr="00924FA9">
        <w:rPr>
          <w:rFonts w:ascii="Arial" w:hAnsi="Arial" w:cs="Arial"/>
        </w:rPr>
        <w:t>Department of Sport and Exercise Sciences, Institute of Sport, Faculty of Science and Engineering</w:t>
      </w:r>
      <w:r>
        <w:rPr>
          <w:rFonts w:ascii="Arial" w:hAnsi="Arial" w:cs="Arial"/>
        </w:rPr>
        <w:t xml:space="preserve">, </w:t>
      </w:r>
      <w:r w:rsidRPr="00F4200F">
        <w:rPr>
          <w:rFonts w:ascii="Arial" w:hAnsi="Arial" w:cs="Arial"/>
        </w:rPr>
        <w:t>Manchester Metropolitan University</w:t>
      </w:r>
      <w:r>
        <w:rPr>
          <w:rFonts w:ascii="Arial" w:hAnsi="Arial" w:cs="Arial"/>
        </w:rPr>
        <w:t xml:space="preserve">, </w:t>
      </w:r>
      <w:r w:rsidRPr="00F4200F">
        <w:rPr>
          <w:rFonts w:ascii="Arial" w:hAnsi="Arial" w:cs="Arial"/>
        </w:rPr>
        <w:t>Manchester</w:t>
      </w:r>
      <w:r>
        <w:rPr>
          <w:rFonts w:ascii="Arial" w:hAnsi="Arial" w:cs="Arial"/>
        </w:rPr>
        <w:t xml:space="preserve">, </w:t>
      </w:r>
      <w:r w:rsidRPr="00F4200F">
        <w:rPr>
          <w:rFonts w:ascii="Arial" w:hAnsi="Arial" w:cs="Arial"/>
        </w:rPr>
        <w:t>M1 5GD</w:t>
      </w:r>
      <w:r>
        <w:rPr>
          <w:rFonts w:ascii="Arial" w:hAnsi="Arial" w:cs="Arial"/>
        </w:rPr>
        <w:t>, UK</w:t>
      </w:r>
    </w:p>
    <w:p w14:paraId="2B97295D" w14:textId="242E4FD4" w:rsidR="001F32FF" w:rsidRPr="001F32FF" w:rsidRDefault="001F32FF" w:rsidP="001F32FF">
      <w:pPr>
        <w:spacing w:line="240" w:lineRule="auto"/>
        <w:rPr>
          <w:rFonts w:ascii="Arial" w:hAnsi="Arial" w:cs="Arial"/>
        </w:rPr>
      </w:pPr>
      <w:r w:rsidRPr="00227D57">
        <w:rPr>
          <w:rFonts w:ascii="Arial" w:hAnsi="Arial" w:cs="Arial"/>
          <w:vertAlign w:val="superscript"/>
        </w:rPr>
        <w:t>†</w:t>
      </w:r>
      <w:r w:rsidRPr="001C4692">
        <w:rPr>
          <w:rFonts w:ascii="Arial" w:hAnsi="Arial" w:cs="Arial"/>
        </w:rPr>
        <w:t>These authors share first authorship</w:t>
      </w:r>
      <w:r>
        <w:rPr>
          <w:rFonts w:ascii="Arial" w:hAnsi="Arial" w:cs="Arial"/>
        </w:rPr>
        <w:t>.</w:t>
      </w:r>
    </w:p>
    <w:p w14:paraId="10248B5E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0CC55A3D" w14:textId="2B2A484D" w:rsidR="001F32FF" w:rsidRPr="000D776E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  <w:r w:rsidRPr="0064102A">
        <w:rPr>
          <w:rFonts w:ascii="Arial" w:eastAsia="Calibri" w:hAnsi="Arial" w:cs="Arial"/>
          <w:b/>
          <w:bCs/>
        </w:rPr>
        <w:t>Supplementary table 1</w:t>
      </w:r>
      <w:r w:rsidRPr="312A45C7">
        <w:rPr>
          <w:rFonts w:ascii="Arial" w:eastAsia="Calibri" w:hAnsi="Arial" w:cs="Arial"/>
        </w:rPr>
        <w:t xml:space="preserve">. </w:t>
      </w:r>
      <w:proofErr w:type="spellStart"/>
      <w:proofErr w:type="gramStart"/>
      <w:r w:rsidRPr="312A45C7">
        <w:rPr>
          <w:rFonts w:ascii="Arial" w:eastAsia="Calibri" w:hAnsi="Arial" w:cs="Arial"/>
        </w:rPr>
        <w:t>Medication,supplements</w:t>
      </w:r>
      <w:proofErr w:type="spellEnd"/>
      <w:proofErr w:type="gramEnd"/>
      <w:r w:rsidRPr="312A45C7">
        <w:rPr>
          <w:rFonts w:ascii="Arial" w:eastAsia="Calibri" w:hAnsi="Arial" w:cs="Arial"/>
        </w:rPr>
        <w:t xml:space="preserve">, and contraception reported by participants.  </w:t>
      </w:r>
    </w:p>
    <w:p w14:paraId="0A2385AB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2640"/>
        <w:gridCol w:w="2116"/>
        <w:gridCol w:w="2756"/>
        <w:gridCol w:w="1579"/>
      </w:tblGrid>
      <w:tr w:rsidR="001F32FF" w14:paraId="4BF43ADD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0FCBAAB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>Medication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136208A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>No. participants reported taking (old)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32F2A90A" w14:textId="77777777" w:rsidR="001F32FF" w:rsidRDefault="001F32FF" w:rsidP="006F371C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>No. participants reported taking (young)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224BAB38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 xml:space="preserve">Total </w:t>
            </w:r>
          </w:p>
        </w:tc>
      </w:tr>
      <w:tr w:rsidR="001F32FF" w14:paraId="4F497442" w14:textId="77777777" w:rsidTr="006F371C">
        <w:trPr>
          <w:trHeight w:val="286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8320F9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Duloxetine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94F7DB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F548B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F3DBF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0E6B903A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FDDB4C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Octasa</w:t>
            </w:r>
            <w:proofErr w:type="spellEnd"/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D2CBD9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E32A7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E1AB0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6532325D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88C2A2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Statins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9F9838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9F6E3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55087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</w:tr>
      <w:tr w:rsidR="001F32FF" w14:paraId="62209DC8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C30D19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Thyroxotine</w:t>
            </w:r>
            <w:proofErr w:type="spellEnd"/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DA66D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A7985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8B82A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</w:tr>
      <w:tr w:rsidR="001F32FF" w14:paraId="5162B2CF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51DC66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Lansoprazole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80E742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349D4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827F8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2B6C7F65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729075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Fluoxetine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1CA98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9F7AE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3ABCD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345741A0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600AFF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Steroid inhaler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92D98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AF609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1A41B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63635FA2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7D698D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Co-dydramol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46F23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C6A6A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F3648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12243F53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7658C195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>Supplements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46077B5F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2814CA4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40A196D5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</w:tr>
      <w:tr w:rsidR="001F32FF" w14:paraId="7D95B8B6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9E13BE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Vitamin D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68298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13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0E0126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4EF83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14</w:t>
            </w:r>
          </w:p>
        </w:tc>
      </w:tr>
      <w:tr w:rsidR="001F32FF" w14:paraId="32F75978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DC10D4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Vitamin C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7E98D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B950E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60C878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3</w:t>
            </w:r>
          </w:p>
        </w:tc>
      </w:tr>
      <w:tr w:rsidR="001F32FF" w14:paraId="7D4D25AC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301B12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Vitamin B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8B708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68057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A58E3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0623879F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AB2DF3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Tumeric</w:t>
            </w:r>
            <w:proofErr w:type="spellEnd"/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0E7D8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F15026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9C819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</w:tr>
      <w:tr w:rsidR="001F32FF" w14:paraId="2D18159C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16A07A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Magnesium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17274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49FEF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C8455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</w:tr>
      <w:tr w:rsidR="001F32FF" w14:paraId="7478B6C9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01CBB4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Cod liver oil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F07D8D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0D56CD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C7C25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</w:tr>
      <w:tr w:rsidR="001F32FF" w14:paraId="4A601388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093C06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Evening primrose oil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508786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3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6BF54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AC5C5D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3</w:t>
            </w:r>
          </w:p>
        </w:tc>
      </w:tr>
      <w:tr w:rsidR="001F32FF" w14:paraId="44CE2FB3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DA27A3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Multivitamins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2F933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9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30BB7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94AD6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13</w:t>
            </w:r>
          </w:p>
        </w:tc>
      </w:tr>
      <w:tr w:rsidR="001F32FF" w14:paraId="3BBCF7AB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8BE98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Collagen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849B85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4F100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27177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</w:tr>
      <w:tr w:rsidR="001F32FF" w14:paraId="76C13FFD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762C1E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Calcium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87624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3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D2F0E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717C7B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3</w:t>
            </w:r>
          </w:p>
        </w:tc>
      </w:tr>
      <w:tr w:rsidR="001F32FF" w14:paraId="32534A75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C0CDC9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Biotin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A3820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C0BABD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C896F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5FE95131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5C391B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Omega-3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07890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21225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3052E8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2AC3E413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DCA683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Zinc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EC9DAB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699E28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E55A3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576588FB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1187CB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Curcumin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9336E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AD688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8FB026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01A38800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44E397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Lions Maine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DC12F7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D051F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E642F5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37FE4D95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A5170D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Ashwaghanda</w:t>
            </w:r>
            <w:proofErr w:type="spellEnd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7250A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8BD5BB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9324F9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3EA0C247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F320E6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lastRenderedPageBreak/>
              <w:t xml:space="preserve">Glucosamine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41F43D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43BC7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A15E0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44599800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49FD54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Iron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8849B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0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8004C2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43712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29FB22E9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3C290ADF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b/>
                <w:bCs/>
                <w:color w:val="000000" w:themeColor="text1"/>
              </w:rPr>
              <w:t xml:space="preserve">Contraception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0D92E2CF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5713D1DA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2E6669F2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</w:p>
        </w:tc>
      </w:tr>
      <w:tr w:rsidR="001F32FF" w14:paraId="6E676A71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770EC0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Copper coil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7DA7E0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n/a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9E2B3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EBE971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1A682701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6B5B74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Implanon implant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A021E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n/a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4217B9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950EDE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586F4D91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AD085D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Rigevidon</w:t>
            </w:r>
            <w:proofErr w:type="spellEnd"/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2697B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n/a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96858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8E0554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2</w:t>
            </w:r>
          </w:p>
        </w:tc>
      </w:tr>
      <w:tr w:rsidR="001F32FF" w14:paraId="1D9292BE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FF9CCD" w14:textId="77777777" w:rsidR="001F32FF" w:rsidRDefault="001F32FF" w:rsidP="006F371C">
            <w:pPr>
              <w:spacing w:after="0" w:line="240" w:lineRule="auto"/>
            </w:pPr>
            <w:proofErr w:type="spellStart"/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Noriday</w:t>
            </w:r>
            <w:proofErr w:type="spellEnd"/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2F383F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n/a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8D7F36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56088B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  <w:tr w:rsidR="001F32FF" w14:paraId="55BFBF1D" w14:textId="77777777" w:rsidTr="006F371C">
        <w:trPr>
          <w:trHeight w:val="28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143920" w14:textId="77777777" w:rsidR="001F32FF" w:rsidRDefault="001F32FF" w:rsidP="006F371C">
            <w:pPr>
              <w:spacing w:after="0" w:line="240" w:lineRule="auto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Nexplanon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E039A5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 xml:space="preserve">n/a 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10518C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154333" w14:textId="77777777" w:rsidR="001F32FF" w:rsidRDefault="001F32FF" w:rsidP="006F371C">
            <w:pPr>
              <w:spacing w:after="0" w:line="240" w:lineRule="auto"/>
              <w:jc w:val="center"/>
            </w:pPr>
            <w:r w:rsidRPr="7576BCEF">
              <w:rPr>
                <w:rFonts w:ascii="Aptos Narrow" w:eastAsia="Aptos Narrow" w:hAnsi="Aptos Narrow" w:cs="Aptos Narrow"/>
                <w:color w:val="000000" w:themeColor="text1"/>
              </w:rPr>
              <w:t>1</w:t>
            </w:r>
          </w:p>
        </w:tc>
      </w:tr>
    </w:tbl>
    <w:p w14:paraId="38138F3B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616AA026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528ECA37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4AF075D9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5E5E5D2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5FAE508D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3D5511F5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39EAA97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79031A60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0717C592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36032CB5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32D6FE36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E32B04" w14:textId="77777777" w:rsidR="001F32FF" w:rsidRDefault="001F32FF" w:rsidP="001F32FF">
      <w:pPr>
        <w:spacing w:after="0" w:line="240" w:lineRule="auto"/>
        <w:jc w:val="both"/>
        <w:rPr>
          <w:rFonts w:ascii="Arial" w:eastAsia="Arial" w:hAnsi="Arial" w:cs="Arial"/>
        </w:rPr>
      </w:pPr>
      <w:r w:rsidRPr="0064102A">
        <w:rPr>
          <w:rFonts w:ascii="Arial" w:eastAsia="Arial" w:hAnsi="Arial" w:cs="Arial"/>
          <w:b/>
          <w:bCs/>
        </w:rPr>
        <w:t>Supplementary table 2</w:t>
      </w:r>
      <w:r w:rsidRPr="312A45C7">
        <w:rPr>
          <w:rFonts w:ascii="Arial" w:eastAsia="Arial" w:hAnsi="Arial" w:cs="Arial"/>
        </w:rPr>
        <w:t xml:space="preserve">. </w:t>
      </w:r>
      <w:r w:rsidRPr="312A45C7">
        <w:rPr>
          <w:rFonts w:ascii="Arial" w:hAnsi="Arial" w:cs="Arial"/>
        </w:rPr>
        <w:t>1RM knee extension, leg press and hand grip strength pre- and post-training in older and younger women in placebo and supplementation groups.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0"/>
        <w:gridCol w:w="967"/>
        <w:gridCol w:w="1024"/>
        <w:gridCol w:w="968"/>
        <w:gridCol w:w="1005"/>
        <w:gridCol w:w="10"/>
        <w:gridCol w:w="958"/>
        <w:gridCol w:w="1121"/>
        <w:gridCol w:w="957"/>
        <w:gridCol w:w="971"/>
        <w:gridCol w:w="95"/>
      </w:tblGrid>
      <w:tr w:rsidR="001F32FF" w14:paraId="55F900F7" w14:textId="77777777" w:rsidTr="006F371C">
        <w:trPr>
          <w:trHeight w:val="300"/>
        </w:trPr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2AA5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</w:p>
        </w:tc>
        <w:tc>
          <w:tcPr>
            <w:tcW w:w="6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CEE3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Older Women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E3B73A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Younger Women</w:t>
            </w:r>
          </w:p>
        </w:tc>
      </w:tr>
      <w:tr w:rsidR="001F32FF" w14:paraId="68A578CE" w14:textId="77777777" w:rsidTr="006F371C">
        <w:trPr>
          <w:gridAfter w:val="1"/>
          <w:wAfter w:w="360" w:type="dxa"/>
          <w:trHeight w:val="30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CA6D5DA" w14:textId="77777777" w:rsidR="001F32FF" w:rsidRDefault="001F32FF" w:rsidP="006F371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 </w:t>
            </w:r>
          </w:p>
        </w:tc>
        <w:tc>
          <w:tcPr>
            <w:tcW w:w="333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66E908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Shatavari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B3C6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Placebo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62B5A91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Shatavari</w:t>
            </w:r>
          </w:p>
        </w:tc>
        <w:tc>
          <w:tcPr>
            <w:tcW w:w="3128" w:type="dxa"/>
            <w:gridSpan w:val="2"/>
            <w:tcBorders>
              <w:bottom w:val="single" w:sz="4" w:space="0" w:color="auto"/>
            </w:tcBorders>
            <w:vAlign w:val="bottom"/>
          </w:tcPr>
          <w:p w14:paraId="583E49E3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Placebo</w:t>
            </w:r>
          </w:p>
        </w:tc>
      </w:tr>
      <w:tr w:rsidR="001F32FF" w14:paraId="7254A4CD" w14:textId="77777777" w:rsidTr="006F371C">
        <w:trPr>
          <w:gridAfter w:val="1"/>
          <w:wAfter w:w="360" w:type="dxa"/>
          <w:trHeight w:val="30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1873E5" w14:textId="77777777" w:rsidR="001F32FF" w:rsidRDefault="001F32FF" w:rsidP="006F371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22D1BC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Pre 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50651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Post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603647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Pre 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2E5E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>Post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0728732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Pre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44B941BC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Post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21BA876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 xml:space="preserve">Pre 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bottom"/>
          </w:tcPr>
          <w:p w14:paraId="4A1A69AB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i/>
                <w:iCs/>
                <w:color w:val="000000" w:themeColor="text1"/>
                <w:lang w:eastAsia="en-GB"/>
              </w:rPr>
              <w:t>Post</w:t>
            </w:r>
          </w:p>
        </w:tc>
      </w:tr>
      <w:tr w:rsidR="001F32FF" w14:paraId="453D6E6B" w14:textId="77777777" w:rsidTr="006F371C">
        <w:trPr>
          <w:gridAfter w:val="1"/>
          <w:wAfter w:w="360" w:type="dxa"/>
          <w:trHeight w:val="343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434AF4" w14:textId="77777777" w:rsidR="001F32FF" w:rsidRDefault="001F32FF" w:rsidP="006F3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KE 1RM (Kg)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49F3D7F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59.8 ± 3.5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3C06F639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73.8 ± 12.3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20AE50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59.8 ± 9.2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ACC2972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70.3 ± 12.5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bottom"/>
          </w:tcPr>
          <w:p w14:paraId="355EFA51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93.6 ± 15.9</w:t>
            </w:r>
          </w:p>
        </w:tc>
        <w:tc>
          <w:tcPr>
            <w:tcW w:w="1560" w:type="dxa"/>
            <w:vAlign w:val="bottom"/>
          </w:tcPr>
          <w:p w14:paraId="17B5D1AA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109.8 ± 14.1</w:t>
            </w:r>
          </w:p>
        </w:tc>
        <w:tc>
          <w:tcPr>
            <w:tcW w:w="1559" w:type="dxa"/>
            <w:vAlign w:val="bottom"/>
          </w:tcPr>
          <w:p w14:paraId="3539313D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70.4 ± 12.2</w:t>
            </w:r>
          </w:p>
        </w:tc>
        <w:tc>
          <w:tcPr>
            <w:tcW w:w="1569" w:type="dxa"/>
            <w:vAlign w:val="bottom"/>
          </w:tcPr>
          <w:p w14:paraId="6E22B9C3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91.2 ± 14.2</w:t>
            </w:r>
          </w:p>
        </w:tc>
      </w:tr>
      <w:tr w:rsidR="001F32FF" w14:paraId="09D29B62" w14:textId="77777777" w:rsidTr="006F371C">
        <w:trPr>
          <w:gridAfter w:val="1"/>
          <w:wAfter w:w="360" w:type="dxa"/>
          <w:trHeight w:val="361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0C1CD05" w14:textId="77777777" w:rsidR="001F32FF" w:rsidRDefault="001F32FF" w:rsidP="006F3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LP 1RM (Kg)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E323F8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138.7 ± 14.0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75E78AD3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206.3 ± 42.1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C5C786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121.0 ± 29.5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48437B9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 xml:space="preserve">180.2 ± 47.5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bottom"/>
          </w:tcPr>
          <w:p w14:paraId="2F5A7818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154.6 ± 59.3</w:t>
            </w:r>
          </w:p>
        </w:tc>
        <w:tc>
          <w:tcPr>
            <w:tcW w:w="1560" w:type="dxa"/>
            <w:vAlign w:val="bottom"/>
          </w:tcPr>
          <w:p w14:paraId="3CBDF9ED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221.1 ± 96.5</w:t>
            </w:r>
          </w:p>
        </w:tc>
        <w:tc>
          <w:tcPr>
            <w:tcW w:w="1559" w:type="dxa"/>
            <w:vAlign w:val="bottom"/>
          </w:tcPr>
          <w:p w14:paraId="5F29BE54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116.2 ± 64.4</w:t>
            </w:r>
          </w:p>
        </w:tc>
        <w:tc>
          <w:tcPr>
            <w:tcW w:w="1569" w:type="dxa"/>
            <w:vAlign w:val="bottom"/>
          </w:tcPr>
          <w:p w14:paraId="5F77966C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 xml:space="preserve">168.3 ± 84.7 </w:t>
            </w:r>
          </w:p>
        </w:tc>
      </w:tr>
      <w:tr w:rsidR="001F32FF" w14:paraId="01D6F34C" w14:textId="77777777" w:rsidTr="006F371C">
        <w:trPr>
          <w:gridAfter w:val="1"/>
          <w:wAfter w:w="360" w:type="dxa"/>
          <w:trHeight w:val="411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B286" w14:textId="77777777" w:rsidR="001F32FF" w:rsidRDefault="001F32FF" w:rsidP="006F37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b/>
                <w:bCs/>
                <w:color w:val="000000" w:themeColor="text1"/>
                <w:lang w:eastAsia="en-GB"/>
              </w:rPr>
              <w:t>HGS (Kg)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90BA29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22.9 ± 3.8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429DEC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24.1 ± 4.6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13736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25.9 ± 4.4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C93D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26.9 ± 4.8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F812F5" w14:textId="77777777" w:rsidR="001F32FF" w:rsidRDefault="001F32FF" w:rsidP="006F37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GB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27.6 ± 5.2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29FC2D21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27 ± 3.6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A5C0296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23 ± 1.5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46DC05CA" w14:textId="77777777" w:rsidR="001F32FF" w:rsidRDefault="001F32FF" w:rsidP="006F37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77B75F0B">
              <w:rPr>
                <w:rFonts w:ascii="Arial" w:eastAsia="Times New Roman" w:hAnsi="Arial" w:cs="Arial"/>
                <w:color w:val="000000" w:themeColor="text1"/>
                <w:lang w:eastAsia="en-GB"/>
              </w:rPr>
              <w:t>25.5 ± 2.5</w:t>
            </w:r>
          </w:p>
        </w:tc>
      </w:tr>
    </w:tbl>
    <w:p w14:paraId="2E406714" w14:textId="77777777" w:rsidR="001F32FF" w:rsidRDefault="001F32FF" w:rsidP="001F32FF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77B75F0B">
        <w:rPr>
          <w:rFonts w:ascii="Arial" w:hAnsi="Arial" w:cs="Arial"/>
          <w:i/>
          <w:iCs/>
        </w:rPr>
        <w:t>KE; knee extension. 1RM; 1 repetition maximum. Kg; kilograms. LP; leg press. HGS; handgrip strength.</w:t>
      </w:r>
    </w:p>
    <w:p w14:paraId="77BF3425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  <w:sectPr w:rsidR="001F32FF" w:rsidSect="00E9654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A4A52A9" w14:textId="77777777" w:rsidR="001F32FF" w:rsidRPr="00D41B0E" w:rsidRDefault="001F32FF" w:rsidP="001F32F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88858DA" wp14:editId="49463B3C">
            <wp:extent cx="7232415" cy="6031858"/>
            <wp:effectExtent l="0" t="0" r="6985" b="7620"/>
            <wp:docPr id="1544155703" name="Picture 2" descr="A diagram of different molecul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155703" name="Picture 2" descr="A diagram of different molecule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3535" cy="604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1E973" w14:textId="77777777" w:rsidR="001F32FF" w:rsidRPr="00B87077" w:rsidRDefault="001F32FF" w:rsidP="001F32F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D41B0E">
        <w:rPr>
          <w:rFonts w:ascii="Arial" w:hAnsi="Arial" w:cs="Arial"/>
          <w:b/>
          <w:bCs/>
          <w:sz w:val="22"/>
          <w:szCs w:val="22"/>
        </w:rPr>
        <w:lastRenderedPageBreak/>
        <w:t>Supplementary Figure 1.</w:t>
      </w:r>
      <w:r w:rsidRPr="00D41B0E">
        <w:rPr>
          <w:rFonts w:ascii="Arial" w:hAnsi="Arial" w:cs="Arial"/>
          <w:sz w:val="22"/>
          <w:szCs w:val="22"/>
        </w:rPr>
        <w:t xml:space="preserve"> Visualisation of skeletal muscle protein networks most prominently altered by </w:t>
      </w:r>
      <w:proofErr w:type="spellStart"/>
      <w:r w:rsidRPr="00D41B0E">
        <w:rPr>
          <w:rFonts w:ascii="Arial" w:hAnsi="Arial" w:cs="Arial"/>
          <w:sz w:val="22"/>
          <w:szCs w:val="22"/>
        </w:rPr>
        <w:t>shatavari</w:t>
      </w:r>
      <w:proofErr w:type="spellEnd"/>
      <w:r w:rsidRPr="00D41B0E">
        <w:rPr>
          <w:rFonts w:ascii="Arial" w:hAnsi="Arial" w:cs="Arial"/>
          <w:sz w:val="22"/>
          <w:szCs w:val="22"/>
        </w:rPr>
        <w:t xml:space="preserve"> supplementation during eight weeks resistance training. Log2 fold changes of skeletal muscle protein expression between placebo and </w:t>
      </w:r>
      <w:proofErr w:type="spellStart"/>
      <w:r w:rsidRPr="00D41B0E">
        <w:rPr>
          <w:rFonts w:ascii="Arial" w:hAnsi="Arial" w:cs="Arial"/>
          <w:sz w:val="22"/>
          <w:szCs w:val="22"/>
        </w:rPr>
        <w:t>shatavari</w:t>
      </w:r>
      <w:proofErr w:type="spellEnd"/>
      <w:r w:rsidRPr="00D41B0E">
        <w:rPr>
          <w:rFonts w:ascii="Arial" w:hAnsi="Arial" w:cs="Arial"/>
          <w:sz w:val="22"/>
          <w:szCs w:val="22"/>
        </w:rPr>
        <w:t xml:space="preserve"> supplemented female participants were mapped</w:t>
      </w:r>
      <w:r w:rsidRPr="312A45C7">
        <w:rPr>
          <w:rFonts w:ascii="Arial" w:hAnsi="Arial" w:cs="Arial"/>
          <w:sz w:val="22"/>
          <w:szCs w:val="22"/>
        </w:rPr>
        <w:t xml:space="preserve"> to nodes using a blue−white−red gradient. To aid readability, protein names are indicated by their official gene symbol.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Note: FASEB allow free format initial submissions. If invited to re-submit following review, this supplementary figure will be uploaded as a separate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high resolution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image which allows node names to be better explored. </w:t>
      </w:r>
    </w:p>
    <w:p w14:paraId="6175A243" w14:textId="77777777" w:rsidR="001F32FF" w:rsidRPr="009963BE" w:rsidRDefault="001F32FF" w:rsidP="001F32FF">
      <w:pPr>
        <w:spacing w:after="0" w:line="240" w:lineRule="auto"/>
        <w:rPr>
          <w:rFonts w:ascii="Arial" w:hAnsi="Arial" w:cs="Arial"/>
        </w:rPr>
      </w:pPr>
    </w:p>
    <w:p w14:paraId="78DEDB19" w14:textId="77777777" w:rsidR="001F32FF" w:rsidRDefault="001F32FF" w:rsidP="001F32FF">
      <w:pPr>
        <w:spacing w:after="0" w:line="240" w:lineRule="auto"/>
        <w:jc w:val="both"/>
        <w:rPr>
          <w:rFonts w:ascii="Arial" w:eastAsia="Calibri" w:hAnsi="Arial" w:cs="Arial"/>
        </w:rPr>
      </w:pPr>
    </w:p>
    <w:p w14:paraId="7080A9AA" w14:textId="77777777" w:rsidR="001F32FF" w:rsidRDefault="001F32FF"/>
    <w:sectPr w:rsidR="001F32FF" w:rsidSect="00E965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CBBD6" w14:textId="77777777" w:rsidR="003553F0" w:rsidRDefault="003553F0" w:rsidP="00E96546">
      <w:pPr>
        <w:spacing w:after="0" w:line="240" w:lineRule="auto"/>
      </w:pPr>
      <w:r>
        <w:separator/>
      </w:r>
    </w:p>
  </w:endnote>
  <w:endnote w:type="continuationSeparator" w:id="0">
    <w:p w14:paraId="6DC1631F" w14:textId="77777777" w:rsidR="003553F0" w:rsidRDefault="003553F0" w:rsidP="00E96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1FDE9" w14:textId="77777777" w:rsidR="003553F0" w:rsidRDefault="003553F0" w:rsidP="00E96546">
      <w:pPr>
        <w:spacing w:after="0" w:line="240" w:lineRule="auto"/>
      </w:pPr>
      <w:r>
        <w:separator/>
      </w:r>
    </w:p>
  </w:footnote>
  <w:footnote w:type="continuationSeparator" w:id="0">
    <w:p w14:paraId="65F58323" w14:textId="77777777" w:rsidR="003553F0" w:rsidRDefault="003553F0" w:rsidP="00E96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FF"/>
    <w:rsid w:val="00005006"/>
    <w:rsid w:val="0019758C"/>
    <w:rsid w:val="001F32FF"/>
    <w:rsid w:val="003553F0"/>
    <w:rsid w:val="0083624F"/>
    <w:rsid w:val="00E9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0F317"/>
  <w15:chartTrackingRefBased/>
  <w15:docId w15:val="{2B90C9A0-2CF5-4E59-8360-2D21E82B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2FF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32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2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2F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2F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2F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2F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2F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2F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2F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2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2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2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2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2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2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3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3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2F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32F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F32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32FF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F32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2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32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F3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1F32FF"/>
  </w:style>
  <w:style w:type="character" w:styleId="Hyperlink">
    <w:name w:val="Hyperlink"/>
    <w:basedOn w:val="DefaultParagraphFont"/>
    <w:uiPriority w:val="99"/>
    <w:unhideWhenUsed/>
    <w:rsid w:val="001F32FF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65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54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965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54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12a5d77-fb98-4eee-af32-1334d8f04a53}" enabled="0" method="" siteId="{912a5d77-fb98-4eee-af32-1334d8f04a5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O'Leary, Mary</dc:creator>
  <cp:keywords/>
  <dc:description/>
  <cp:lastModifiedBy>Shanmuga Priya Paneerselvam</cp:lastModifiedBy>
  <cp:revision>3</cp:revision>
  <dcterms:created xsi:type="dcterms:W3CDTF">2024-09-16T09:31:00Z</dcterms:created>
  <dcterms:modified xsi:type="dcterms:W3CDTF">2024-12-16T09:05:00Z</dcterms:modified>
</cp:coreProperties>
</file>